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二</w:t>
      </w:r>
      <w:r>
        <w:rPr>
          <w:rFonts w:hint="eastAsia" w:ascii="Times New Roman" w:hAnsi="Times New Roman"/>
          <w:b/>
          <w:bCs/>
          <w:sz w:val="44"/>
          <w:szCs w:val="44"/>
        </w:rPr>
        <w:t>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孙晓峰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5127F33A">
            <w:pPr>
              <w:spacing w:line="360" w:lineRule="exact"/>
              <w:jc w:val="center"/>
              <w:rPr>
                <w:rFonts w:hint="default" w:asciiTheme="minorEastAsia" w:hAnsiTheme="minorEastAsia" w:eastAsiaTheme="minorEastAsia" w:cstheme="minorEastAsia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24旅1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E83B78D"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基础模块下册：第七章：简单几何体     第八章：概率与统计初步</w:t>
            </w:r>
          </w:p>
          <w:p w14:paraId="1A4B53FE">
            <w:pPr>
              <w:numPr>
                <w:ilvl w:val="0"/>
                <w:numId w:val="0"/>
              </w:num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拓展模块一：第一章：三角计算         第二章：数列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 xml:space="preserve">  高二上学期的学生已经具备了一定的高中数学基础，如函数、立体几何初步等知识，但在知识的系统性、逻辑性以及综合运用能力方面仍存在不足。部分学生对数学学习兴趣不高，缺乏主动思考和探究的精神；还有一些学生在数学运算的准确性和解题思路的规范性上有待提高。此外，学生之间的数学成绩差距较大，在教学中需要兼顾不同层次学生的学习需求，实施分层教学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1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/>
            <w:vAlign w:val="center"/>
          </w:tcPr>
          <w:p w14:paraId="3FF8725D">
            <w:pPr>
              <w:numPr>
                <w:ilvl w:val="0"/>
                <w:numId w:val="0"/>
              </w:num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认识棱柱棱锥、圆柱圆锥和球等几何体；理解三视图；掌握直观图的画法；会求解柱体，锥体和球的表面积和体积；</w:t>
            </w:r>
          </w:p>
          <w:p w14:paraId="697FC7FF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了解概率与频率的关系；掌握简单的抽样方法及其应用；会画频率分布直方图；计算样本的平均数和标准差；</w:t>
            </w:r>
          </w:p>
          <w:p w14:paraId="786B13B9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掌握和角与倍角公式；理解正弦函数的图像和性质；运用正余弦定理去解三角形；</w:t>
            </w:r>
          </w:p>
          <w:p w14:paraId="4D893DF8">
            <w:pPr>
              <w:numPr>
                <w:ilvl w:val="0"/>
                <w:numId w:val="0"/>
              </w:numPr>
              <w:spacing w:line="400" w:lineRule="exact"/>
              <w:ind w:left="0" w:leftChars="0" w:firstLine="0" w:firstLineChars="0"/>
              <w:jc w:val="left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认识等差和等比数列，掌握等差和等比数列前n项和的求导方法。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/>
            <w:vAlign w:val="center"/>
          </w:tcPr>
          <w:p w14:paraId="733D1E6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通过画立体图形在平面上表示空间图形的过程，培养学生的空间想象能力，更好的理解基本空间图形；</w:t>
            </w:r>
          </w:p>
          <w:p w14:paraId="152393D5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在概率章节，激发并而皮痒学生学习兴趣，增强社会实践能力，培养解决实际问题的能力；</w:t>
            </w:r>
          </w:p>
          <w:p w14:paraId="1A1E8F55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数列章节，培养学生发现、认识、分析、综合等能力;</w:t>
            </w:r>
          </w:p>
          <w:p w14:paraId="097E4887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三角计算中，培养和提升学生的数学运算、直观想象、逻辑推理和数学建模等素养，提高解决问题的能力。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9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shd w:val="clear"/>
            <w:vAlign w:val="center"/>
          </w:tcPr>
          <w:p w14:paraId="042825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</w:t>
            </w: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培养学生严谨的数学思维和科学精神</w:t>
            </w: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5BA770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</w:t>
            </w: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提升学生的抽象概括能力和数学建模素养</w:t>
            </w: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24E9EB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</w:t>
            </w: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增强学生面对难题时的钻研精神和克服困难的毅力</w:t>
            </w: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6E2F76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</w:t>
            </w: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通过小组讨论和合作学习，提升学生的团队协作意识</w:t>
            </w: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；</w:t>
            </w:r>
          </w:p>
          <w:p w14:paraId="56A241F9">
            <w:pPr>
              <w:spacing w:line="400" w:lineRule="exact"/>
              <w:jc w:val="both"/>
              <w:rPr>
                <w:rFonts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</w:t>
            </w: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激发学生对数学的兴趣，增强其学习自信心。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8E4F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平时表现总成绩100分，主要从以下几个方面进行考核：</w:t>
            </w:r>
          </w:p>
          <w:p w14:paraId="409AE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1.出勤情况（40分）</w:t>
            </w:r>
          </w:p>
          <w:p w14:paraId="3403D1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学生需按时参加每节课，无故缺勤一次扣5分，迟到或早退一次扣3分。</w:t>
            </w:r>
          </w:p>
          <w:p w14:paraId="0CF1BC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2.课堂参与度（30分）</w:t>
            </w:r>
          </w:p>
          <w:p w14:paraId="2FD28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主要包括参与课堂讨论、回答问题，主动完成课堂练习和小组活动等情况。对于课堂上不认真听讲、玩手机或其他与学习无关的行为，每次扣2分。</w:t>
            </w:r>
          </w:p>
          <w:p w14:paraId="7E65FA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3.作业完成情况（30分）</w:t>
            </w:r>
          </w:p>
          <w:p w14:paraId="2F42BA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主要考察学生作业的完成质量、正确率和按时提交情况。</w:t>
            </w:r>
          </w:p>
          <w:p w14:paraId="641AE8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未按时提交作业每次扣3分，抄袭作业视为无效并扣5分。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01AA7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采用闭卷考试的方式，考查学生对前半学期所学内容的掌握情况，包括集合、不等式等知识。考试题型包括选择题、填空题、解答题等，全面考查学生的知识运用能力和解题能力。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shd w:val="clear" w:color="auto" w:fill="auto"/>
            <w:vAlign w:val="center"/>
          </w:tcPr>
          <w:p w14:paraId="2BE32F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t>进行闭卷考试，涵盖本学期所学的全部内容，包括集合、不等式和函数及其性质等。考试题型丰富多样，注重考查学生的综合应用能力和创新思维能力。</w:t>
            </w:r>
          </w:p>
        </w:tc>
      </w:tr>
    </w:tbl>
    <w:p w14:paraId="0BC4E227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71"/>
        <w:gridCol w:w="3558"/>
        <w:gridCol w:w="49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71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58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9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2EEFA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CADBAF5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3671" w:type="dxa"/>
            <w:shd w:val="clear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7.1认识空间几何体</w:t>
            </w:r>
          </w:p>
        </w:tc>
        <w:tc>
          <w:tcPr>
            <w:tcW w:w="3558" w:type="dxa"/>
            <w:shd w:val="clear"/>
            <w:vAlign w:val="center"/>
          </w:tcPr>
          <w:p w14:paraId="377B6EF4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认识多面体与旋转体；</w:t>
            </w:r>
          </w:p>
          <w:p w14:paraId="5A72D5D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棱柱和棱锥；圆柱和圆锥</w:t>
            </w:r>
          </w:p>
        </w:tc>
        <w:tc>
          <w:tcPr>
            <w:tcW w:w="498" w:type="dxa"/>
            <w:vAlign w:val="center"/>
          </w:tcPr>
          <w:p w14:paraId="2A0DD61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2FB65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073ECA5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22</w:t>
            </w:r>
          </w:p>
        </w:tc>
        <w:tc>
          <w:tcPr>
            <w:tcW w:w="3671" w:type="dxa"/>
            <w:shd w:val="clear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7.2空间几何体的三视图与直观图</w:t>
            </w:r>
          </w:p>
        </w:tc>
        <w:tc>
          <w:tcPr>
            <w:tcW w:w="3558" w:type="dxa"/>
            <w:shd w:val="clear"/>
            <w:vAlign w:val="center"/>
          </w:tcPr>
          <w:p w14:paraId="450451A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三视图与直观图的概念与画法</w:t>
            </w:r>
          </w:p>
        </w:tc>
        <w:tc>
          <w:tcPr>
            <w:tcW w:w="498" w:type="dxa"/>
            <w:vAlign w:val="center"/>
          </w:tcPr>
          <w:p w14:paraId="6B3EBF4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46FCB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D58B60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.2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3671" w:type="dxa"/>
            <w:shd w:val="clear"/>
            <w:vAlign w:val="center"/>
          </w:tcPr>
          <w:p w14:paraId="0F4C902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7.3空间几何体的表面积和体积</w:t>
            </w:r>
          </w:p>
        </w:tc>
        <w:tc>
          <w:tcPr>
            <w:tcW w:w="3558" w:type="dxa"/>
            <w:shd w:val="clear"/>
            <w:vAlign w:val="center"/>
          </w:tcPr>
          <w:p w14:paraId="5DDF411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空间几何体的侧面积、表面积和体积公式及应用</w:t>
            </w:r>
          </w:p>
        </w:tc>
        <w:tc>
          <w:tcPr>
            <w:tcW w:w="498" w:type="dxa"/>
            <w:vAlign w:val="center"/>
          </w:tcPr>
          <w:p w14:paraId="05D7C5E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D42B0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683F36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30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shd w:val="clear"/>
            <w:vAlign w:val="center"/>
          </w:tcPr>
          <w:p w14:paraId="338BDC8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8.1概率初步</w:t>
            </w:r>
          </w:p>
        </w:tc>
        <w:tc>
          <w:tcPr>
            <w:tcW w:w="3558" w:type="dxa"/>
            <w:shd w:val="clear"/>
            <w:vAlign w:val="center"/>
          </w:tcPr>
          <w:p w14:paraId="6725823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随机试验与古典概型</w:t>
            </w:r>
          </w:p>
        </w:tc>
        <w:tc>
          <w:tcPr>
            <w:tcW w:w="498" w:type="dxa"/>
            <w:vAlign w:val="center"/>
          </w:tcPr>
          <w:p w14:paraId="585B0FE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B8D36A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376274A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3671" w:type="dxa"/>
            <w:shd w:val="clear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8.1概率初步</w:t>
            </w:r>
          </w:p>
        </w:tc>
        <w:tc>
          <w:tcPr>
            <w:tcW w:w="3558" w:type="dxa"/>
            <w:shd w:val="clear"/>
            <w:vAlign w:val="center"/>
          </w:tcPr>
          <w:p w14:paraId="59EE94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用频率估计概率</w:t>
            </w:r>
          </w:p>
          <w:p w14:paraId="22758F5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概率的加法公式</w:t>
            </w:r>
          </w:p>
        </w:tc>
        <w:tc>
          <w:tcPr>
            <w:tcW w:w="49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376147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3FC554D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4.19</w:t>
            </w:r>
          </w:p>
        </w:tc>
        <w:tc>
          <w:tcPr>
            <w:tcW w:w="3671" w:type="dxa"/>
            <w:shd w:val="clear"/>
            <w:vAlign w:val="center"/>
          </w:tcPr>
          <w:p w14:paraId="6745C0B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8.2统计初步</w:t>
            </w:r>
          </w:p>
        </w:tc>
        <w:tc>
          <w:tcPr>
            <w:tcW w:w="3558" w:type="dxa"/>
            <w:shd w:val="clear"/>
            <w:vAlign w:val="center"/>
          </w:tcPr>
          <w:p w14:paraId="1CCF82D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总体、样本和抽样方法</w:t>
            </w:r>
          </w:p>
        </w:tc>
        <w:tc>
          <w:tcPr>
            <w:tcW w:w="498" w:type="dxa"/>
            <w:vAlign w:val="center"/>
          </w:tcPr>
          <w:p w14:paraId="43A3C4C7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4DF9B9A4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0539CCD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20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26</w:t>
            </w:r>
          </w:p>
        </w:tc>
        <w:tc>
          <w:tcPr>
            <w:tcW w:w="3671" w:type="dxa"/>
            <w:shd w:val="clear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8.2统计初步</w:t>
            </w:r>
          </w:p>
        </w:tc>
        <w:tc>
          <w:tcPr>
            <w:tcW w:w="3558" w:type="dxa"/>
            <w:shd w:val="clear"/>
            <w:vAlign w:val="center"/>
          </w:tcPr>
          <w:p w14:paraId="37B1AA6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数据的直观表示</w:t>
            </w:r>
          </w:p>
        </w:tc>
        <w:tc>
          <w:tcPr>
            <w:tcW w:w="498" w:type="dxa"/>
            <w:vAlign w:val="center"/>
          </w:tcPr>
          <w:p w14:paraId="19888ED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E5B178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A1545B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.2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3D521B8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13067BD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9E86D5E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9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4B875A8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69100BB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8.2统计初步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796F4FC4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样本平均数与标准差</w:t>
            </w:r>
          </w:p>
        </w:tc>
        <w:tc>
          <w:tcPr>
            <w:tcW w:w="498" w:type="dxa"/>
            <w:vAlign w:val="center"/>
          </w:tcPr>
          <w:p w14:paraId="7A6BBC3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463B13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10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4F933D10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3671" w:type="dxa"/>
            <w:shd w:val="clear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1.1和角公式</w:t>
            </w:r>
          </w:p>
        </w:tc>
        <w:tc>
          <w:tcPr>
            <w:tcW w:w="3558" w:type="dxa"/>
            <w:shd w:val="clear"/>
            <w:vAlign w:val="center"/>
          </w:tcPr>
          <w:p w14:paraId="4FBDC52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两角和与差的余弦公式</w:t>
            </w:r>
          </w:p>
          <w:p w14:paraId="1A76A6C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两角和与差的正弦公式</w:t>
            </w:r>
          </w:p>
        </w:tc>
        <w:tc>
          <w:tcPr>
            <w:tcW w:w="498" w:type="dxa"/>
            <w:vAlign w:val="center"/>
          </w:tcPr>
          <w:p w14:paraId="62336CE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DE3D760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11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8CA2DE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.1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3671" w:type="dxa"/>
            <w:shd w:val="clear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1.2倍角公式</w:t>
            </w:r>
          </w:p>
        </w:tc>
        <w:tc>
          <w:tcPr>
            <w:tcW w:w="3558" w:type="dxa"/>
            <w:shd w:val="clear"/>
            <w:vAlign w:val="center"/>
          </w:tcPr>
          <w:p w14:paraId="63104A23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两角和与差的正切公式</w:t>
            </w:r>
          </w:p>
          <w:p w14:paraId="389B0601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倍角公式</w:t>
            </w:r>
          </w:p>
        </w:tc>
        <w:tc>
          <w:tcPr>
            <w:tcW w:w="498" w:type="dxa"/>
            <w:vAlign w:val="center"/>
          </w:tcPr>
          <w:p w14:paraId="7626191A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50CE07D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12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0B10C9A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5.25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31</w:t>
            </w:r>
          </w:p>
        </w:tc>
        <w:tc>
          <w:tcPr>
            <w:tcW w:w="3671" w:type="dxa"/>
            <w:shd w:val="clear" w:color="auto" w:fill="auto"/>
            <w:vAlign w:val="center"/>
          </w:tcPr>
          <w:p w14:paraId="1E141A9B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1.3正弦型函数</w:t>
            </w:r>
          </w:p>
          <w:p w14:paraId="648F6CD9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1.4解三角形</w:t>
            </w:r>
          </w:p>
        </w:tc>
        <w:tc>
          <w:tcPr>
            <w:tcW w:w="3558" w:type="dxa"/>
            <w:shd w:val="clear" w:color="auto" w:fill="auto"/>
            <w:vAlign w:val="center"/>
          </w:tcPr>
          <w:p w14:paraId="2711758B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正弦型函数的概念</w:t>
            </w:r>
          </w:p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余弦定理</w:t>
            </w:r>
          </w:p>
        </w:tc>
        <w:tc>
          <w:tcPr>
            <w:tcW w:w="498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59E9DBD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13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1164E8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3671" w:type="dxa"/>
            <w:shd w:val="clear"/>
            <w:vAlign w:val="center"/>
          </w:tcPr>
          <w:p w14:paraId="1FCF55FB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1.4解三角形</w:t>
            </w:r>
          </w:p>
        </w:tc>
        <w:tc>
          <w:tcPr>
            <w:tcW w:w="3558" w:type="dxa"/>
            <w:shd w:val="clear"/>
            <w:vAlign w:val="center"/>
          </w:tcPr>
          <w:p w14:paraId="7E66F57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三角形的面积及正弦定理</w:t>
            </w:r>
          </w:p>
        </w:tc>
        <w:tc>
          <w:tcPr>
            <w:tcW w:w="498" w:type="dxa"/>
            <w:vAlign w:val="center"/>
          </w:tcPr>
          <w:p w14:paraId="6B78EAD2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B159F9B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14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798C0D3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3671" w:type="dxa"/>
            <w:shd w:val="clear"/>
            <w:vAlign w:val="center"/>
          </w:tcPr>
          <w:p w14:paraId="2A2A1C05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1.5三角计算的应用</w:t>
            </w:r>
          </w:p>
        </w:tc>
        <w:tc>
          <w:tcPr>
            <w:tcW w:w="3558" w:type="dxa"/>
            <w:shd w:val="clear"/>
            <w:vAlign w:val="center"/>
          </w:tcPr>
          <w:p w14:paraId="650E5F89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正弦定理与余弦定理计算的应用</w:t>
            </w:r>
          </w:p>
        </w:tc>
        <w:tc>
          <w:tcPr>
            <w:tcW w:w="498" w:type="dxa"/>
            <w:vAlign w:val="center"/>
          </w:tcPr>
          <w:p w14:paraId="082CBF5B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75ED358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15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282BF22F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15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3671" w:type="dxa"/>
            <w:shd w:val="clear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2.1数列的概念</w:t>
            </w:r>
          </w:p>
        </w:tc>
        <w:tc>
          <w:tcPr>
            <w:tcW w:w="3558" w:type="dxa"/>
            <w:shd w:val="clear"/>
            <w:vAlign w:val="center"/>
          </w:tcPr>
          <w:p w14:paraId="10EF046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数列的定义</w:t>
            </w:r>
          </w:p>
          <w:p w14:paraId="02A6DA6D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数列的通项</w:t>
            </w:r>
          </w:p>
        </w:tc>
        <w:tc>
          <w:tcPr>
            <w:tcW w:w="498" w:type="dxa"/>
            <w:vAlign w:val="center"/>
          </w:tcPr>
          <w:p w14:paraId="298069E1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1076D9FA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16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3A9504C4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.2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3671" w:type="dxa"/>
            <w:shd w:val="clear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2.2等差数列</w:t>
            </w:r>
          </w:p>
        </w:tc>
        <w:tc>
          <w:tcPr>
            <w:tcW w:w="3558" w:type="dxa"/>
            <w:shd w:val="clear"/>
            <w:vAlign w:val="center"/>
          </w:tcPr>
          <w:p w14:paraId="1C484E98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等差数列的概念</w:t>
            </w:r>
          </w:p>
        </w:tc>
        <w:tc>
          <w:tcPr>
            <w:tcW w:w="498" w:type="dxa"/>
            <w:vAlign w:val="center"/>
          </w:tcPr>
          <w:p w14:paraId="4EF076E3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01905EB6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17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1A8E1A47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.2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.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3671" w:type="dxa"/>
            <w:shd w:val="clear"/>
            <w:vAlign w:val="center"/>
          </w:tcPr>
          <w:p w14:paraId="5892C513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2.2等差数列</w:t>
            </w:r>
          </w:p>
        </w:tc>
        <w:tc>
          <w:tcPr>
            <w:tcW w:w="3558" w:type="dxa"/>
            <w:shd w:val="clear"/>
            <w:vAlign w:val="center"/>
          </w:tcPr>
          <w:p w14:paraId="06A63A7C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等差数列的前n项和</w:t>
            </w:r>
          </w:p>
        </w:tc>
        <w:tc>
          <w:tcPr>
            <w:tcW w:w="498" w:type="dxa"/>
            <w:vAlign w:val="center"/>
          </w:tcPr>
          <w:p w14:paraId="2579974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shd w:val="clear" w:color="auto" w:fill="auto"/>
            <w:vAlign w:val="center"/>
          </w:tcPr>
          <w:p w14:paraId="6A19CC3F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18</w:t>
            </w:r>
          </w:p>
        </w:tc>
        <w:tc>
          <w:tcPr>
            <w:tcW w:w="1700" w:type="dxa"/>
            <w:shd w:val="clear" w:color="auto" w:fill="auto"/>
            <w:vAlign w:val="center"/>
          </w:tcPr>
          <w:p w14:paraId="7ABD86DE">
            <w:pPr>
              <w:spacing w:line="400" w:lineRule="exact"/>
              <w:jc w:val="center"/>
              <w:rPr>
                <w:rFonts w:hint="default" w:asciiTheme="minorEastAsia" w:hAnsiTheme="minorEastAsia" w:eastAsiaTheme="minorEastAsia" w:cstheme="minorEastAsia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7.6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>-</w:t>
            </w: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7.12</w:t>
            </w:r>
          </w:p>
        </w:tc>
        <w:tc>
          <w:tcPr>
            <w:tcW w:w="3671" w:type="dxa"/>
            <w:shd w:val="clear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  <w:bookmarkStart w:id="0" w:name="_GoBack"/>
            <w:bookmarkEnd w:id="0"/>
          </w:p>
        </w:tc>
        <w:tc>
          <w:tcPr>
            <w:tcW w:w="3558" w:type="dxa"/>
            <w:shd w:val="clear"/>
            <w:vAlign w:val="center"/>
          </w:tcPr>
          <w:p w14:paraId="09C1DD12">
            <w:pPr>
              <w:spacing w:line="400" w:lineRule="exact"/>
              <w:jc w:val="center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498" w:type="dxa"/>
            <w:vAlign w:val="center"/>
          </w:tcPr>
          <w:p w14:paraId="53243F19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</w:t>
            </w:r>
          </w:p>
        </w:tc>
      </w:tr>
    </w:tbl>
    <w:p w14:paraId="63E6C5E6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F626D5"/>
    <w:multiLevelType w:val="singleLevel"/>
    <w:tmpl w:val="D9F626D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4F713E"/>
    <w:rsid w:val="005B1E69"/>
    <w:rsid w:val="006D40A1"/>
    <w:rsid w:val="00705E0A"/>
    <w:rsid w:val="009152AC"/>
    <w:rsid w:val="00B02BB7"/>
    <w:rsid w:val="00F5669D"/>
    <w:rsid w:val="156A4693"/>
    <w:rsid w:val="15E2587E"/>
    <w:rsid w:val="193B5220"/>
    <w:rsid w:val="19926D78"/>
    <w:rsid w:val="19B93788"/>
    <w:rsid w:val="1CF2284B"/>
    <w:rsid w:val="1FD04999"/>
    <w:rsid w:val="23580F2E"/>
    <w:rsid w:val="23D73AD8"/>
    <w:rsid w:val="265579A6"/>
    <w:rsid w:val="2C4D184B"/>
    <w:rsid w:val="2E7B1F62"/>
    <w:rsid w:val="39995AAB"/>
    <w:rsid w:val="42B75819"/>
    <w:rsid w:val="449325D5"/>
    <w:rsid w:val="4C2519EB"/>
    <w:rsid w:val="4FD910EA"/>
    <w:rsid w:val="589917F1"/>
    <w:rsid w:val="5CDD5A24"/>
    <w:rsid w:val="6FA51132"/>
    <w:rsid w:val="73CB43D1"/>
    <w:rsid w:val="74085625"/>
    <w:rsid w:val="74433216"/>
    <w:rsid w:val="779A1567"/>
    <w:rsid w:val="77A57D7A"/>
    <w:rsid w:val="7CB83951"/>
    <w:rsid w:val="7EB0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2008</Words>
  <Characters>2176</Characters>
  <Lines>2</Lines>
  <Paragraphs>1</Paragraphs>
  <TotalTime>2</TotalTime>
  <ScaleCrop>false</ScaleCrop>
  <LinksUpToDate>false</LinksUpToDate>
  <CharactersWithSpaces>2198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孙晓峰</cp:lastModifiedBy>
  <dcterms:modified xsi:type="dcterms:W3CDTF">2026-03-10T11:46:17Z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eyJoZGlkIjoiZjQwNWE4OTE4YzhkOGIxZjQ4MDMyMDUyNDkyZjQ5MjUiLCJ1c2VySWQiOiIzOTY4OTU0OTEifQ==</vt:lpwstr>
  </property>
  <property fmtid="{D5CDD505-2E9C-101B-9397-08002B2CF9AE}" pid="4" name="ICV">
    <vt:lpwstr>5A1F822F8EF4427A8491F933BA076A6E_13</vt:lpwstr>
  </property>
</Properties>
</file>